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AF" w:rsidRDefault="00254E0C">
      <w:r>
        <w:rPr>
          <w:noProof/>
        </w:rPr>
        <w:drawing>
          <wp:inline distT="0" distB="0" distL="0" distR="0" wp14:anchorId="13270292" wp14:editId="5A9A55DB">
            <wp:extent cx="4505325" cy="27146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6ADB40" wp14:editId="6E69D29B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FD5EAC" wp14:editId="7925A068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:rsidR="00254E0C" w:rsidRDefault="00254E0C"/>
    <w:sectPr w:rsidR="00254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E0C"/>
    <w:rsid w:val="00254E0C"/>
    <w:rsid w:val="008855EE"/>
    <w:rsid w:val="00A6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Long</a:t>
            </a:r>
            <a:r>
              <a:rPr lang="en-US" baseline="0"/>
              <a:t> Island Creek: Water Temperature (C) versus Dissolved Oxygen (mg/L)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'Group Chart'!$B$1</c:f>
              <c:strCache>
                <c:ptCount val="1"/>
                <c:pt idx="0">
                  <c:v>Dissolved Oxygen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18343547681539807"/>
                  <c:y val="0.18831146106736657"/>
                </c:manualLayout>
              </c:layout>
              <c:numFmt formatCode="General" sourceLinked="0"/>
            </c:trendlineLbl>
          </c:trendline>
          <c:xVal>
            <c:numRef>
              <c:f>'Group Chart'!$A$2:$A$35</c:f>
              <c:numCache>
                <c:formatCode>General</c:formatCode>
                <c:ptCount val="34"/>
                <c:pt idx="0">
                  <c:v>21</c:v>
                </c:pt>
                <c:pt idx="1">
                  <c:v>20</c:v>
                </c:pt>
                <c:pt idx="2">
                  <c:v>21</c:v>
                </c:pt>
                <c:pt idx="3">
                  <c:v>20.25</c:v>
                </c:pt>
                <c:pt idx="4">
                  <c:v>21</c:v>
                </c:pt>
                <c:pt idx="5">
                  <c:v>21.5</c:v>
                </c:pt>
                <c:pt idx="6">
                  <c:v>20.5</c:v>
                </c:pt>
                <c:pt idx="7">
                  <c:v>21.4</c:v>
                </c:pt>
                <c:pt idx="8">
                  <c:v>24.6</c:v>
                </c:pt>
                <c:pt idx="9">
                  <c:v>24.3</c:v>
                </c:pt>
                <c:pt idx="10">
                  <c:v>22.5</c:v>
                </c:pt>
                <c:pt idx="11">
                  <c:v>22</c:v>
                </c:pt>
                <c:pt idx="12">
                  <c:v>23</c:v>
                </c:pt>
                <c:pt idx="13">
                  <c:v>21.5</c:v>
                </c:pt>
                <c:pt idx="14">
                  <c:v>23</c:v>
                </c:pt>
                <c:pt idx="15">
                  <c:v>22</c:v>
                </c:pt>
                <c:pt idx="16">
                  <c:v>24</c:v>
                </c:pt>
                <c:pt idx="17">
                  <c:v>24</c:v>
                </c:pt>
                <c:pt idx="18">
                  <c:v>21</c:v>
                </c:pt>
                <c:pt idx="19">
                  <c:v>21</c:v>
                </c:pt>
                <c:pt idx="20">
                  <c:v>23</c:v>
                </c:pt>
                <c:pt idx="21">
                  <c:v>24</c:v>
                </c:pt>
                <c:pt idx="22">
                  <c:v>23.25</c:v>
                </c:pt>
                <c:pt idx="23">
                  <c:v>22.5</c:v>
                </c:pt>
                <c:pt idx="24">
                  <c:v>22</c:v>
                </c:pt>
                <c:pt idx="25">
                  <c:v>21.5</c:v>
                </c:pt>
                <c:pt idx="26">
                  <c:v>24</c:v>
                </c:pt>
                <c:pt idx="27">
                  <c:v>26</c:v>
                </c:pt>
                <c:pt idx="28">
                  <c:v>23</c:v>
                </c:pt>
                <c:pt idx="29">
                  <c:v>23</c:v>
                </c:pt>
                <c:pt idx="30">
                  <c:v>22</c:v>
                </c:pt>
                <c:pt idx="31">
                  <c:v>23</c:v>
                </c:pt>
                <c:pt idx="32">
                  <c:v>25</c:v>
                </c:pt>
                <c:pt idx="33">
                  <c:v>25</c:v>
                </c:pt>
              </c:numCache>
            </c:numRef>
          </c:xVal>
          <c:yVal>
            <c:numRef>
              <c:f>'Group Chart'!$B$2:$B$35</c:f>
              <c:numCache>
                <c:formatCode>General</c:formatCode>
                <c:ptCount val="34"/>
                <c:pt idx="0">
                  <c:v>3.98</c:v>
                </c:pt>
                <c:pt idx="1">
                  <c:v>5.45</c:v>
                </c:pt>
                <c:pt idx="2">
                  <c:v>2.13</c:v>
                </c:pt>
                <c:pt idx="3">
                  <c:v>3.1</c:v>
                </c:pt>
                <c:pt idx="4">
                  <c:v>7</c:v>
                </c:pt>
                <c:pt idx="5">
                  <c:v>6.8</c:v>
                </c:pt>
                <c:pt idx="6">
                  <c:v>6.8</c:v>
                </c:pt>
                <c:pt idx="7">
                  <c:v>6.8</c:v>
                </c:pt>
                <c:pt idx="8">
                  <c:v>3.5</c:v>
                </c:pt>
                <c:pt idx="9">
                  <c:v>4.2</c:v>
                </c:pt>
                <c:pt idx="10">
                  <c:v>5</c:v>
                </c:pt>
                <c:pt idx="11">
                  <c:v>5.5</c:v>
                </c:pt>
                <c:pt idx="12">
                  <c:v>5</c:v>
                </c:pt>
                <c:pt idx="13">
                  <c:v>5</c:v>
                </c:pt>
                <c:pt idx="14">
                  <c:v>5.4</c:v>
                </c:pt>
                <c:pt idx="15">
                  <c:v>6</c:v>
                </c:pt>
                <c:pt idx="16">
                  <c:v>8.1999999999999993</c:v>
                </c:pt>
                <c:pt idx="17">
                  <c:v>8.1999999999999993</c:v>
                </c:pt>
                <c:pt idx="18">
                  <c:v>6.9</c:v>
                </c:pt>
                <c:pt idx="19">
                  <c:v>7.75</c:v>
                </c:pt>
                <c:pt idx="20">
                  <c:v>6.3</c:v>
                </c:pt>
                <c:pt idx="21">
                  <c:v>7.2</c:v>
                </c:pt>
                <c:pt idx="22">
                  <c:v>6.2</c:v>
                </c:pt>
                <c:pt idx="23">
                  <c:v>6.3</c:v>
                </c:pt>
                <c:pt idx="24">
                  <c:v>6.8</c:v>
                </c:pt>
                <c:pt idx="25">
                  <c:v>6.5</c:v>
                </c:pt>
                <c:pt idx="26">
                  <c:v>6.1</c:v>
                </c:pt>
                <c:pt idx="27">
                  <c:v>6.75</c:v>
                </c:pt>
                <c:pt idx="28">
                  <c:v>5.55</c:v>
                </c:pt>
                <c:pt idx="29">
                  <c:v>5.6</c:v>
                </c:pt>
                <c:pt idx="30">
                  <c:v>5.45</c:v>
                </c:pt>
                <c:pt idx="31">
                  <c:v>5.95</c:v>
                </c:pt>
                <c:pt idx="32">
                  <c:v>5.3</c:v>
                </c:pt>
                <c:pt idx="33">
                  <c:v>8.85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3837056"/>
        <c:axId val="103856384"/>
      </c:scatterChart>
      <c:valAx>
        <c:axId val="103837056"/>
        <c:scaling>
          <c:orientation val="minMax"/>
          <c:min val="18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3856384"/>
        <c:crosses val="autoZero"/>
        <c:crossBetween val="midCat"/>
      </c:valAx>
      <c:valAx>
        <c:axId val="10385638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crossAx val="103837056"/>
        <c:crosses val="autoZero"/>
        <c:crossBetween val="midCat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Marsh Creek and Long Island Creek: Water Temperature (C)</a:t>
            </a:r>
            <a:r>
              <a:rPr lang="en-US" baseline="0"/>
              <a:t> and </a:t>
            </a:r>
            <a:r>
              <a:rPr lang="en-US"/>
              <a:t>Dissolved Oxygen (mg/L)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'Group Chart'!$B$1</c:f>
              <c:strCache>
                <c:ptCount val="1"/>
                <c:pt idx="0">
                  <c:v>Dissolved Oxygen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1395087489063867"/>
                  <c:y val="0.2710097696121318"/>
                </c:manualLayout>
              </c:layout>
              <c:numFmt formatCode="General" sourceLinked="0"/>
            </c:trendlineLbl>
          </c:trendline>
          <c:xVal>
            <c:numRef>
              <c:f>'Group Chart'!$A$2:$A$53</c:f>
              <c:numCache>
                <c:formatCode>General</c:formatCode>
                <c:ptCount val="52"/>
                <c:pt idx="0">
                  <c:v>21</c:v>
                </c:pt>
                <c:pt idx="1">
                  <c:v>20</c:v>
                </c:pt>
                <c:pt idx="2">
                  <c:v>21</c:v>
                </c:pt>
                <c:pt idx="3">
                  <c:v>20.25</c:v>
                </c:pt>
                <c:pt idx="4">
                  <c:v>21</c:v>
                </c:pt>
                <c:pt idx="5">
                  <c:v>21.5</c:v>
                </c:pt>
                <c:pt idx="6">
                  <c:v>20.5</c:v>
                </c:pt>
                <c:pt idx="7">
                  <c:v>21.4</c:v>
                </c:pt>
                <c:pt idx="8">
                  <c:v>24.6</c:v>
                </c:pt>
                <c:pt idx="9">
                  <c:v>24.3</c:v>
                </c:pt>
                <c:pt idx="10">
                  <c:v>22.5</c:v>
                </c:pt>
                <c:pt idx="11">
                  <c:v>22</c:v>
                </c:pt>
                <c:pt idx="12">
                  <c:v>23</c:v>
                </c:pt>
                <c:pt idx="13">
                  <c:v>21.5</c:v>
                </c:pt>
                <c:pt idx="14">
                  <c:v>23</c:v>
                </c:pt>
                <c:pt idx="15">
                  <c:v>22</c:v>
                </c:pt>
                <c:pt idx="16">
                  <c:v>24</c:v>
                </c:pt>
                <c:pt idx="17">
                  <c:v>24</c:v>
                </c:pt>
                <c:pt idx="18">
                  <c:v>21</c:v>
                </c:pt>
                <c:pt idx="19">
                  <c:v>21</c:v>
                </c:pt>
                <c:pt idx="20">
                  <c:v>23</c:v>
                </c:pt>
                <c:pt idx="21">
                  <c:v>24</c:v>
                </c:pt>
                <c:pt idx="22">
                  <c:v>23.25</c:v>
                </c:pt>
                <c:pt idx="23">
                  <c:v>22.5</c:v>
                </c:pt>
                <c:pt idx="24">
                  <c:v>22</c:v>
                </c:pt>
                <c:pt idx="25">
                  <c:v>21.5</c:v>
                </c:pt>
                <c:pt idx="26">
                  <c:v>24</c:v>
                </c:pt>
                <c:pt idx="27">
                  <c:v>26</c:v>
                </c:pt>
                <c:pt idx="28">
                  <c:v>23</c:v>
                </c:pt>
                <c:pt idx="29">
                  <c:v>23</c:v>
                </c:pt>
                <c:pt idx="30">
                  <c:v>22</c:v>
                </c:pt>
                <c:pt idx="31">
                  <c:v>23</c:v>
                </c:pt>
                <c:pt idx="32">
                  <c:v>25</c:v>
                </c:pt>
                <c:pt idx="33">
                  <c:v>25</c:v>
                </c:pt>
                <c:pt idx="34">
                  <c:v>21</c:v>
                </c:pt>
                <c:pt idx="35">
                  <c:v>17.75</c:v>
                </c:pt>
                <c:pt idx="36">
                  <c:v>19.600000000000001</c:v>
                </c:pt>
                <c:pt idx="37">
                  <c:v>21</c:v>
                </c:pt>
                <c:pt idx="38">
                  <c:v>21</c:v>
                </c:pt>
                <c:pt idx="39">
                  <c:v>22.7</c:v>
                </c:pt>
                <c:pt idx="40">
                  <c:v>22.5</c:v>
                </c:pt>
                <c:pt idx="41">
                  <c:v>21</c:v>
                </c:pt>
                <c:pt idx="42">
                  <c:v>23</c:v>
                </c:pt>
                <c:pt idx="43">
                  <c:v>23.5</c:v>
                </c:pt>
                <c:pt idx="44">
                  <c:v>22</c:v>
                </c:pt>
                <c:pt idx="45">
                  <c:v>23</c:v>
                </c:pt>
                <c:pt idx="46">
                  <c:v>22</c:v>
                </c:pt>
                <c:pt idx="47">
                  <c:v>22.5</c:v>
                </c:pt>
                <c:pt idx="48">
                  <c:v>23.5</c:v>
                </c:pt>
                <c:pt idx="49">
                  <c:v>22</c:v>
                </c:pt>
                <c:pt idx="50">
                  <c:v>21</c:v>
                </c:pt>
                <c:pt idx="51">
                  <c:v>22</c:v>
                </c:pt>
              </c:numCache>
            </c:numRef>
          </c:xVal>
          <c:yVal>
            <c:numRef>
              <c:f>'Group Chart'!$B$2:$B$53</c:f>
              <c:numCache>
                <c:formatCode>General</c:formatCode>
                <c:ptCount val="52"/>
                <c:pt idx="0">
                  <c:v>3.98</c:v>
                </c:pt>
                <c:pt idx="1">
                  <c:v>5.45</c:v>
                </c:pt>
                <c:pt idx="2">
                  <c:v>2.13</c:v>
                </c:pt>
                <c:pt idx="3">
                  <c:v>3.1</c:v>
                </c:pt>
                <c:pt idx="4">
                  <c:v>7</c:v>
                </c:pt>
                <c:pt idx="5">
                  <c:v>6.8</c:v>
                </c:pt>
                <c:pt idx="6">
                  <c:v>6.8</c:v>
                </c:pt>
                <c:pt idx="7">
                  <c:v>6.8</c:v>
                </c:pt>
                <c:pt idx="8">
                  <c:v>3.5</c:v>
                </c:pt>
                <c:pt idx="9">
                  <c:v>4.2</c:v>
                </c:pt>
                <c:pt idx="10">
                  <c:v>5</c:v>
                </c:pt>
                <c:pt idx="11">
                  <c:v>5.5</c:v>
                </c:pt>
                <c:pt idx="12">
                  <c:v>5</c:v>
                </c:pt>
                <c:pt idx="13">
                  <c:v>5</c:v>
                </c:pt>
                <c:pt idx="14">
                  <c:v>5.4</c:v>
                </c:pt>
                <c:pt idx="15">
                  <c:v>6</c:v>
                </c:pt>
                <c:pt idx="16">
                  <c:v>8.1999999999999993</c:v>
                </c:pt>
                <c:pt idx="17">
                  <c:v>8.1999999999999993</c:v>
                </c:pt>
                <c:pt idx="18">
                  <c:v>6.9</c:v>
                </c:pt>
                <c:pt idx="19">
                  <c:v>7.75</c:v>
                </c:pt>
                <c:pt idx="20">
                  <c:v>6.3</c:v>
                </c:pt>
                <c:pt idx="21">
                  <c:v>7.2</c:v>
                </c:pt>
                <c:pt idx="22">
                  <c:v>6.2</c:v>
                </c:pt>
                <c:pt idx="23">
                  <c:v>6.3</c:v>
                </c:pt>
                <c:pt idx="24">
                  <c:v>6.8</c:v>
                </c:pt>
                <c:pt idx="25">
                  <c:v>6.5</c:v>
                </c:pt>
                <c:pt idx="26">
                  <c:v>6.1</c:v>
                </c:pt>
                <c:pt idx="27">
                  <c:v>6.75</c:v>
                </c:pt>
                <c:pt idx="28">
                  <c:v>5.55</c:v>
                </c:pt>
                <c:pt idx="29">
                  <c:v>5.6</c:v>
                </c:pt>
                <c:pt idx="30">
                  <c:v>5.45</c:v>
                </c:pt>
                <c:pt idx="31">
                  <c:v>5.95</c:v>
                </c:pt>
                <c:pt idx="32">
                  <c:v>5.3</c:v>
                </c:pt>
                <c:pt idx="33">
                  <c:v>8.85</c:v>
                </c:pt>
                <c:pt idx="34">
                  <c:v>1.9</c:v>
                </c:pt>
                <c:pt idx="35">
                  <c:v>2.6</c:v>
                </c:pt>
                <c:pt idx="36">
                  <c:v>2</c:v>
                </c:pt>
                <c:pt idx="37">
                  <c:v>3.7</c:v>
                </c:pt>
                <c:pt idx="38">
                  <c:v>5.4</c:v>
                </c:pt>
                <c:pt idx="39">
                  <c:v>5.4</c:v>
                </c:pt>
                <c:pt idx="40">
                  <c:v>6.4</c:v>
                </c:pt>
                <c:pt idx="41">
                  <c:v>6.5</c:v>
                </c:pt>
                <c:pt idx="42">
                  <c:v>6</c:v>
                </c:pt>
                <c:pt idx="43">
                  <c:v>7.45</c:v>
                </c:pt>
                <c:pt idx="44">
                  <c:v>6.3</c:v>
                </c:pt>
                <c:pt idx="45">
                  <c:v>5.8</c:v>
                </c:pt>
                <c:pt idx="46">
                  <c:v>6</c:v>
                </c:pt>
                <c:pt idx="47">
                  <c:v>6.25</c:v>
                </c:pt>
                <c:pt idx="48">
                  <c:v>5.9</c:v>
                </c:pt>
                <c:pt idx="49">
                  <c:v>6.3</c:v>
                </c:pt>
                <c:pt idx="50">
                  <c:v>5</c:v>
                </c:pt>
                <c:pt idx="51">
                  <c:v>5.85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4019456"/>
        <c:axId val="104022400"/>
      </c:scatterChart>
      <c:valAx>
        <c:axId val="104019456"/>
        <c:scaling>
          <c:orientation val="minMax"/>
          <c:min val="16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4022400"/>
        <c:crosses val="autoZero"/>
        <c:crossBetween val="midCat"/>
      </c:valAx>
      <c:valAx>
        <c:axId val="1040224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0401945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Marsh</a:t>
            </a:r>
            <a:r>
              <a:rPr lang="en-US" baseline="0"/>
              <a:t> Creek: Water Temperature (C) versus Dissolved Oxygen (mg/L)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9.1508092738407695E-2"/>
                  <c:y val="0.33771981627296588"/>
                </c:manualLayout>
              </c:layout>
              <c:numFmt formatCode="General" sourceLinked="0"/>
            </c:trendlineLbl>
          </c:trendline>
          <c:xVal>
            <c:numRef>
              <c:f>'Group Chart'!$A$36:$A$53</c:f>
              <c:numCache>
                <c:formatCode>General</c:formatCode>
                <c:ptCount val="18"/>
                <c:pt idx="0">
                  <c:v>21</c:v>
                </c:pt>
                <c:pt idx="1">
                  <c:v>17.75</c:v>
                </c:pt>
                <c:pt idx="2">
                  <c:v>19.600000000000001</c:v>
                </c:pt>
                <c:pt idx="3">
                  <c:v>21</c:v>
                </c:pt>
                <c:pt idx="4">
                  <c:v>21</c:v>
                </c:pt>
                <c:pt idx="5">
                  <c:v>22.7</c:v>
                </c:pt>
                <c:pt idx="6">
                  <c:v>22.5</c:v>
                </c:pt>
                <c:pt idx="7">
                  <c:v>21</c:v>
                </c:pt>
                <c:pt idx="8">
                  <c:v>23</c:v>
                </c:pt>
                <c:pt idx="9">
                  <c:v>23.5</c:v>
                </c:pt>
                <c:pt idx="10">
                  <c:v>22</c:v>
                </c:pt>
                <c:pt idx="11">
                  <c:v>23</c:v>
                </c:pt>
                <c:pt idx="12">
                  <c:v>22</c:v>
                </c:pt>
                <c:pt idx="13">
                  <c:v>22.5</c:v>
                </c:pt>
                <c:pt idx="14">
                  <c:v>23.5</c:v>
                </c:pt>
                <c:pt idx="15">
                  <c:v>22</c:v>
                </c:pt>
                <c:pt idx="16">
                  <c:v>21</c:v>
                </c:pt>
                <c:pt idx="17">
                  <c:v>22</c:v>
                </c:pt>
              </c:numCache>
            </c:numRef>
          </c:xVal>
          <c:yVal>
            <c:numRef>
              <c:f>'Group Chart'!$B$36:$B$53</c:f>
              <c:numCache>
                <c:formatCode>General</c:formatCode>
                <c:ptCount val="18"/>
                <c:pt idx="0">
                  <c:v>1.9</c:v>
                </c:pt>
                <c:pt idx="1">
                  <c:v>2.6</c:v>
                </c:pt>
                <c:pt idx="2">
                  <c:v>2</c:v>
                </c:pt>
                <c:pt idx="3">
                  <c:v>3.7</c:v>
                </c:pt>
                <c:pt idx="4">
                  <c:v>5.4</c:v>
                </c:pt>
                <c:pt idx="5">
                  <c:v>5.4</c:v>
                </c:pt>
                <c:pt idx="6">
                  <c:v>6.4</c:v>
                </c:pt>
                <c:pt idx="7">
                  <c:v>6.5</c:v>
                </c:pt>
                <c:pt idx="8">
                  <c:v>6</c:v>
                </c:pt>
                <c:pt idx="9">
                  <c:v>7.45</c:v>
                </c:pt>
                <c:pt idx="10">
                  <c:v>6.3</c:v>
                </c:pt>
                <c:pt idx="11">
                  <c:v>5.8</c:v>
                </c:pt>
                <c:pt idx="12">
                  <c:v>6</c:v>
                </c:pt>
                <c:pt idx="13">
                  <c:v>6.25</c:v>
                </c:pt>
                <c:pt idx="14">
                  <c:v>5.9</c:v>
                </c:pt>
                <c:pt idx="15">
                  <c:v>6.3</c:v>
                </c:pt>
                <c:pt idx="16">
                  <c:v>5</c:v>
                </c:pt>
                <c:pt idx="17">
                  <c:v>5.85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4156160"/>
        <c:axId val="104190336"/>
      </c:scatterChart>
      <c:valAx>
        <c:axId val="104156160"/>
        <c:scaling>
          <c:orientation val="minMax"/>
          <c:min val="19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4190336"/>
        <c:crosses val="autoZero"/>
        <c:crossBetween val="midCat"/>
      </c:valAx>
      <c:valAx>
        <c:axId val="10419033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crossAx val="10415616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</dc:creator>
  <cp:lastModifiedBy>Jessi</cp:lastModifiedBy>
  <cp:revision>1</cp:revision>
  <dcterms:created xsi:type="dcterms:W3CDTF">2012-07-09T00:28:00Z</dcterms:created>
  <dcterms:modified xsi:type="dcterms:W3CDTF">2012-07-09T00:32:00Z</dcterms:modified>
</cp:coreProperties>
</file>